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1E" w:rsidRPr="00724E01" w:rsidRDefault="00CC331E" w:rsidP="00FD51A1">
      <w:pPr>
        <w:spacing w:after="0" w:line="265" w:lineRule="auto"/>
        <w:ind w:left="0"/>
        <w:jc w:val="center"/>
        <w:rPr>
          <w:rFonts w:ascii="仿宋" w:eastAsia="仿宋" w:hAnsi="仿宋"/>
        </w:rPr>
      </w:pPr>
      <w:r w:rsidRPr="00724E01">
        <w:rPr>
          <w:rFonts w:ascii="仿宋" w:eastAsia="仿宋" w:hAnsi="仿宋"/>
        </w:rPr>
        <w:t>专利</w:t>
      </w:r>
      <w:r w:rsidR="00C00DB0" w:rsidRPr="00C00DB0">
        <w:rPr>
          <w:rFonts w:ascii="仿宋" w:eastAsia="仿宋" w:hAnsi="仿宋" w:hint="eastAsia"/>
        </w:rPr>
        <w:t>文献传递</w:t>
      </w:r>
      <w:r w:rsidR="00C00DB0">
        <w:rPr>
          <w:rFonts w:ascii="仿宋" w:eastAsia="仿宋" w:hAnsi="仿宋" w:hint="eastAsia"/>
        </w:rPr>
        <w:t>/</w:t>
      </w:r>
      <w:r w:rsidRPr="00724E01">
        <w:rPr>
          <w:rFonts w:ascii="仿宋" w:eastAsia="仿宋" w:hAnsi="仿宋"/>
        </w:rPr>
        <w:t>法律状态检索服务报告</w:t>
      </w:r>
    </w:p>
    <w:tbl>
      <w:tblPr>
        <w:tblStyle w:val="TableGrid"/>
        <w:tblW w:w="8856" w:type="dxa"/>
        <w:tblInd w:w="98" w:type="dxa"/>
        <w:tblCellMar>
          <w:top w:w="36" w:type="dxa"/>
          <w:left w:w="23" w:type="dxa"/>
        </w:tblCellMar>
        <w:tblLook w:val="04A0" w:firstRow="1" w:lastRow="0" w:firstColumn="1" w:lastColumn="0" w:noHBand="0" w:noVBand="1"/>
      </w:tblPr>
      <w:tblGrid>
        <w:gridCol w:w="1440"/>
        <w:gridCol w:w="2340"/>
        <w:gridCol w:w="1532"/>
        <w:gridCol w:w="3544"/>
      </w:tblGrid>
      <w:tr w:rsidR="00CC331E" w:rsidRPr="00724E01" w:rsidTr="00F77261">
        <w:trPr>
          <w:trHeight w:val="627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项目编号</w:t>
            </w:r>
          </w:p>
        </w:tc>
        <w:tc>
          <w:tcPr>
            <w:tcW w:w="23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>服务类型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16064" w:rsidRPr="00116064" w:rsidRDefault="00116064" w:rsidP="0002200D">
            <w:pPr>
              <w:spacing w:after="0"/>
              <w:ind w:left="0" w:firstLine="0"/>
              <w:rPr>
                <w:rFonts w:ascii="仿宋" w:eastAsia="仿宋" w:hAnsi="仿宋"/>
                <w:sz w:val="24"/>
                <w:szCs w:val="24"/>
              </w:rPr>
            </w:pPr>
            <w:r w:rsidRPr="00116064">
              <w:rPr>
                <w:rFonts w:ascii="仿宋" w:eastAsia="仿宋" w:hAnsi="仿宋" w:hint="eastAsia"/>
                <w:sz w:val="24"/>
                <w:szCs w:val="24"/>
              </w:rPr>
              <w:t>□专利文献传递</w:t>
            </w:r>
          </w:p>
          <w:p w:rsidR="00116064" w:rsidRPr="00724E01" w:rsidRDefault="00116064" w:rsidP="0002200D">
            <w:pPr>
              <w:spacing w:after="0"/>
              <w:ind w:left="0" w:firstLine="0"/>
              <w:rPr>
                <w:rFonts w:ascii="仿宋" w:eastAsia="仿宋" w:hAnsi="仿宋"/>
              </w:rPr>
            </w:pPr>
            <w:r w:rsidRPr="00116064">
              <w:rPr>
                <w:rFonts w:ascii="仿宋" w:eastAsia="仿宋" w:hAnsi="仿宋" w:hint="eastAsia"/>
                <w:sz w:val="24"/>
                <w:szCs w:val="24"/>
              </w:rPr>
              <w:t>□专利法律状态检索</w:t>
            </w:r>
          </w:p>
        </w:tc>
      </w:tr>
      <w:tr w:rsidR="00CC331E" w:rsidRPr="00724E01" w:rsidTr="0065138C">
        <w:trPr>
          <w:trHeight w:val="634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委托方联系人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61" w:rsidRPr="00724E01" w:rsidRDefault="00CC331E" w:rsidP="00F77261">
            <w:pPr>
              <w:spacing w:after="0"/>
              <w:ind w:leftChars="50" w:left="168" w:firstLine="0"/>
              <w:rPr>
                <w:rFonts w:ascii="仿宋" w:eastAsia="仿宋" w:hAnsi="仿宋"/>
                <w:sz w:val="24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TEL:     </w:t>
            </w:r>
          </w:p>
          <w:p w:rsidR="00CC331E" w:rsidRPr="00724E01" w:rsidRDefault="00CC331E" w:rsidP="00F77261">
            <w:pPr>
              <w:spacing w:after="0"/>
              <w:ind w:leftChars="50" w:left="168" w:firstLine="0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E-mail: 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>服务方联系人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77261" w:rsidRPr="00724E01" w:rsidRDefault="00CC331E" w:rsidP="00F77261">
            <w:pPr>
              <w:spacing w:after="0"/>
              <w:ind w:leftChars="20" w:left="67" w:firstLine="0"/>
              <w:rPr>
                <w:rFonts w:ascii="仿宋" w:eastAsia="仿宋" w:hAnsi="仿宋"/>
                <w:sz w:val="24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TEL:     </w:t>
            </w:r>
          </w:p>
          <w:p w:rsidR="00CC331E" w:rsidRPr="00724E01" w:rsidRDefault="00CC331E" w:rsidP="00F77261">
            <w:pPr>
              <w:spacing w:after="0"/>
              <w:ind w:leftChars="20" w:left="67" w:firstLine="0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E-mail:      </w:t>
            </w:r>
          </w:p>
        </w:tc>
      </w:tr>
      <w:tr w:rsidR="00CC331E" w:rsidRPr="00724E01" w:rsidTr="0065138C">
        <w:trPr>
          <w:trHeight w:val="643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双方约定事项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>（服务合同中限定的其他标准或要件）</w:t>
            </w:r>
            <w:r w:rsidRPr="00724E01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CC331E" w:rsidRPr="00724E01" w:rsidTr="0065138C">
        <w:trPr>
          <w:trHeight w:val="644"/>
        </w:trPr>
        <w:tc>
          <w:tcPr>
            <w:tcW w:w="14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待检索专利文献号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(提供专利或专利申请相关号码) </w:t>
            </w:r>
          </w:p>
        </w:tc>
      </w:tr>
      <w:tr w:rsidR="00CC331E" w:rsidRPr="00724E01" w:rsidTr="00F77261">
        <w:trPr>
          <w:trHeight w:val="635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查询系统</w:t>
            </w:r>
            <w:r w:rsidR="00F77261" w:rsidRPr="00724E01">
              <w:rPr>
                <w:rFonts w:ascii="仿宋" w:eastAsia="仿宋" w:hAnsi="仿宋"/>
                <w:spacing w:val="-8"/>
                <w:sz w:val="24"/>
              </w:rPr>
              <w:br/>
            </w:r>
            <w:r w:rsidRPr="00724E01">
              <w:rPr>
                <w:rFonts w:ascii="仿宋" w:eastAsia="仿宋" w:hAnsi="仿宋"/>
                <w:spacing w:val="-8"/>
                <w:sz w:val="24"/>
              </w:rPr>
              <w:t>及来源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CC331E" w:rsidRPr="00724E01" w:rsidTr="00F77261">
        <w:trPr>
          <w:trHeight w:val="322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检索入口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CC331E" w:rsidRPr="00724E01" w:rsidTr="00F77261">
        <w:trPr>
          <w:trHeight w:val="2387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检索获取原始信息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C331E" w:rsidRPr="00724E01" w:rsidRDefault="00CC331E" w:rsidP="00CC331E">
            <w:pPr>
              <w:spacing w:after="0" w:line="240" w:lineRule="auto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(从专利检索系统或其他获取来源取得的法律状态的原始资料信息，含专利法律状态列表) </w:t>
            </w:r>
          </w:p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 </w:t>
            </w:r>
          </w:p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 </w:t>
            </w:r>
          </w:p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 </w:t>
            </w:r>
          </w:p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 </w:t>
            </w:r>
          </w:p>
        </w:tc>
      </w:tr>
      <w:tr w:rsidR="00CC331E" w:rsidRPr="00724E01" w:rsidTr="00F77261">
        <w:trPr>
          <w:trHeight w:val="2054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检索结论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C331E" w:rsidRPr="00724E01" w:rsidRDefault="00CC331E" w:rsidP="00CC331E">
            <w:pPr>
              <w:spacing w:after="0" w:line="240" w:lineRule="auto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（依据检索获取的原始信息，结合所属国家相关法律，作出法律状态检索的检索结论） </w:t>
            </w:r>
          </w:p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 </w:t>
            </w:r>
          </w:p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 </w:t>
            </w:r>
          </w:p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 </w:t>
            </w:r>
          </w:p>
        </w:tc>
      </w:tr>
      <w:tr w:rsidR="00CC331E" w:rsidRPr="00724E01" w:rsidTr="00F77261">
        <w:trPr>
          <w:trHeight w:val="322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依据法条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 </w:t>
            </w:r>
          </w:p>
        </w:tc>
      </w:tr>
      <w:tr w:rsidR="00CC331E" w:rsidRPr="00724E01" w:rsidTr="00F77261">
        <w:trPr>
          <w:trHeight w:val="322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检索时间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 </w:t>
            </w:r>
          </w:p>
        </w:tc>
      </w:tr>
      <w:tr w:rsidR="00CC331E" w:rsidRPr="00724E01" w:rsidTr="0002200D">
        <w:trPr>
          <w:trHeight w:val="323"/>
        </w:trPr>
        <w:tc>
          <w:tcPr>
            <w:tcW w:w="144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负责人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02200D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>检索人员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CC331E" w:rsidRPr="00724E01" w:rsidTr="0002200D">
        <w:trPr>
          <w:trHeight w:val="3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16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31E" w:rsidRPr="00724E01" w:rsidRDefault="00CC331E" w:rsidP="00CC331E">
            <w:pPr>
              <w:spacing w:after="160"/>
              <w:ind w:left="0" w:firstLine="0"/>
              <w:rPr>
                <w:rFonts w:ascii="仿宋" w:eastAsia="仿宋" w:hAnsi="仿宋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31E" w:rsidRPr="00724E01" w:rsidRDefault="00CC331E" w:rsidP="0002200D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>审核人员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CC331E" w:rsidRPr="00724E01" w:rsidRDefault="00CC331E" w:rsidP="00CC331E">
            <w:pPr>
              <w:spacing w:after="0"/>
              <w:ind w:left="0" w:firstLine="0"/>
              <w:jc w:val="center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F77261" w:rsidRPr="00724E01" w:rsidTr="0002200D">
        <w:trPr>
          <w:trHeight w:val="346"/>
        </w:trPr>
        <w:tc>
          <w:tcPr>
            <w:tcW w:w="0" w:type="auto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261" w:rsidRPr="00724E01" w:rsidRDefault="00F77261" w:rsidP="0002200D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成果提供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F77261" w:rsidRPr="00724E01" w:rsidRDefault="00F77261" w:rsidP="0002200D">
            <w:pPr>
              <w:spacing w:after="0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 w:rsidRPr="00724E01">
              <w:rPr>
                <w:rFonts w:ascii="仿宋" w:eastAsia="仿宋" w:hAnsi="仿宋" w:hint="eastAsia"/>
                <w:sz w:val="24"/>
              </w:rPr>
              <w:t>□</w:t>
            </w:r>
            <w:r w:rsidRPr="00724E01">
              <w:rPr>
                <w:rFonts w:ascii="仿宋" w:eastAsia="仿宋" w:hAnsi="仿宋"/>
                <w:sz w:val="24"/>
              </w:rPr>
              <w:t>电子报告</w:t>
            </w:r>
            <w:r w:rsidRPr="00724E01">
              <w:rPr>
                <w:rFonts w:ascii="仿宋" w:eastAsia="仿宋" w:hAnsi="仿宋"/>
                <w:sz w:val="24"/>
              </w:rPr>
              <w:tab/>
            </w:r>
            <w:r w:rsidRPr="00724E01">
              <w:rPr>
                <w:rFonts w:ascii="仿宋" w:eastAsia="仿宋" w:hAnsi="仿宋" w:hint="eastAsia"/>
                <w:sz w:val="24"/>
              </w:rPr>
              <w:t>□</w:t>
            </w:r>
            <w:r w:rsidRPr="00724E01">
              <w:rPr>
                <w:rFonts w:ascii="仿宋" w:eastAsia="仿宋" w:hAnsi="仿宋"/>
                <w:sz w:val="24"/>
              </w:rPr>
              <w:t>纸质报告(附后)</w:t>
            </w:r>
            <w:r w:rsidRPr="00724E01">
              <w:rPr>
                <w:rFonts w:ascii="仿宋" w:eastAsia="仿宋" w:hAnsi="仿宋"/>
                <w:sz w:val="24"/>
              </w:rPr>
              <w:tab/>
            </w:r>
            <w:r w:rsidRPr="00724E01">
              <w:rPr>
                <w:rFonts w:ascii="仿宋" w:eastAsia="仿宋" w:hAnsi="仿宋" w:hint="eastAsia"/>
                <w:sz w:val="24"/>
              </w:rPr>
              <w:t>□</w:t>
            </w:r>
            <w:r w:rsidRPr="00724E01">
              <w:rPr>
                <w:rFonts w:ascii="仿宋" w:eastAsia="仿宋" w:hAnsi="仿宋"/>
                <w:sz w:val="24"/>
              </w:rPr>
              <w:t>电子及纸质报告(附后)</w:t>
            </w:r>
          </w:p>
        </w:tc>
      </w:tr>
      <w:tr w:rsidR="00CC331E" w:rsidRPr="00724E01" w:rsidTr="00F77261">
        <w:trPr>
          <w:trHeight w:val="971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备注1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C331E" w:rsidRPr="00724E01" w:rsidRDefault="00CC331E" w:rsidP="00CC331E">
            <w:pPr>
              <w:spacing w:after="0"/>
              <w:ind w:left="0" w:firstLine="0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</w:tr>
      <w:tr w:rsidR="00CC331E" w:rsidRPr="00724E01" w:rsidTr="007365F8">
        <w:trPr>
          <w:trHeight w:val="1097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C331E" w:rsidRPr="00724E01" w:rsidRDefault="00CC331E" w:rsidP="00F77261">
            <w:pPr>
              <w:spacing w:after="0"/>
              <w:ind w:left="0" w:firstLine="0"/>
              <w:jc w:val="center"/>
              <w:rPr>
                <w:rFonts w:ascii="仿宋" w:eastAsia="仿宋" w:hAnsi="仿宋"/>
                <w:spacing w:val="-8"/>
              </w:rPr>
            </w:pPr>
            <w:r w:rsidRPr="00724E01">
              <w:rPr>
                <w:rFonts w:ascii="仿宋" w:eastAsia="仿宋" w:hAnsi="仿宋"/>
                <w:spacing w:val="-8"/>
                <w:sz w:val="24"/>
              </w:rPr>
              <w:t>备注2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CC331E" w:rsidRPr="00724E01" w:rsidRDefault="00CC331E" w:rsidP="00CC331E">
            <w:pPr>
              <w:spacing w:after="0"/>
              <w:ind w:left="0" w:firstLine="0"/>
              <w:rPr>
                <w:rFonts w:ascii="仿宋" w:eastAsia="仿宋" w:hAnsi="仿宋"/>
              </w:rPr>
            </w:pPr>
            <w:r w:rsidRPr="00724E01">
              <w:rPr>
                <w:rFonts w:ascii="仿宋" w:eastAsia="仿宋" w:hAnsi="仿宋"/>
                <w:color w:val="9A9A9A"/>
                <w:sz w:val="24"/>
              </w:rPr>
              <w:t xml:space="preserve">（服务方信息反馈） </w:t>
            </w:r>
          </w:p>
          <w:p w:rsidR="00CC331E" w:rsidRPr="00724E01" w:rsidRDefault="00CC331E" w:rsidP="00CC331E">
            <w:pPr>
              <w:spacing w:after="0"/>
              <w:ind w:left="0" w:firstLine="0"/>
              <w:rPr>
                <w:rFonts w:ascii="仿宋" w:eastAsia="仿宋" w:hAnsi="仿宋" w:hint="eastAsia"/>
              </w:rPr>
            </w:pPr>
            <w:r w:rsidRPr="00724E01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</w:tbl>
    <w:p w:rsidR="00FE02F6" w:rsidRPr="00724E01" w:rsidRDefault="00FE02F6" w:rsidP="007365F8">
      <w:pPr>
        <w:spacing w:after="0" w:line="140" w:lineRule="exact"/>
        <w:ind w:left="0" w:firstLine="0"/>
        <w:rPr>
          <w:rFonts w:ascii="仿宋" w:eastAsia="仿宋" w:hAnsi="仿宋" w:hint="eastAsia"/>
        </w:rPr>
      </w:pPr>
    </w:p>
    <w:sectPr w:rsidR="00FE02F6" w:rsidRPr="00724E01" w:rsidSect="00CC331E">
      <w:footerReference w:type="even" r:id="rId8"/>
      <w:footerReference w:type="default" r:id="rId9"/>
      <w:footerReference w:type="first" r:id="rId10"/>
      <w:pgSz w:w="11904" w:h="16840"/>
      <w:pgMar w:top="1452" w:right="1361" w:bottom="1469" w:left="1588" w:header="720" w:footer="998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macro wne:macroName="TEMPLATEPROJECT.NEWMACROS.PASTESPECIALTEXT"/>
    </wne:keymap>
    <wne:keymap wne:kcmPrimary="0072">
      <wne:macro wne:macroName="TEMPLATEPROJECT.NEWMACROS.EICHINESENAME"/>
    </wne:keymap>
    <wne:keymap wne:kcmPrimary="0073">
      <wne:macro wne:macroName="TEMPLATEPROJECT.NEWMACROS.EIFORMAT"/>
    </wne:keymap>
    <wne:keymap wne:kcmPrimary="0074">
      <wne:macro wne:macroName="TEMPLATEPROJECT.NEWMACROS.SCIFORMAT"/>
    </wne:keymap>
    <wne:keymap wne:kcmPrimary="0075">
      <wne:macro wne:macroName="TEMPLATEPROJECT.NEWMACROS.SCICITEDTEMPLATE"/>
    </wne:keymap>
    <wne:keymap wne:kcmPrimary="0076">
      <wne:macro wne:macroName="TEMPLATEPROJECT.NEWMACROS.SCICITEDFORMAT"/>
    </wne:keymap>
    <wne:keymap wne:kcmPrimary="0077">
      <wne:macro wne:macroName="TEMPLATEPROJECT.NEWMACROS.SCISELFCITATION"/>
    </wne:keymap>
    <wne:keymap wne:kcmPrimary="0078">
      <wne:macro wne:macroName="TEMPLATEPROJECT.NEWMACROS.SCICITEDNO"/>
    </wne:keymap>
    <wne:keymap wne:kcmPrimary="0079">
      <wne:macro wne:macroName="TEMPLATEPROJECT.NEWMACROS.DELETESCITED"/>
    </wne:keymap>
    <wne:keymap wne:kcmPrimary="007A">
      <wne:macro wne:macroName="TEMPLATEPROJECT.NEWMACROS.DELETEPARAGRAPH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10" w:rsidRDefault="00953A10">
      <w:pPr>
        <w:spacing w:after="0" w:line="240" w:lineRule="auto"/>
      </w:pPr>
      <w:r>
        <w:separator/>
      </w:r>
    </w:p>
  </w:endnote>
  <w:endnote w:type="continuationSeparator" w:id="0">
    <w:p w:rsidR="00953A10" w:rsidRDefault="0095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EB" w:rsidRDefault="004D19EB">
    <w:pPr>
      <w:spacing w:after="0"/>
      <w:ind w:left="0" w:right="371" w:firstLine="0"/>
      <w:jc w:val="center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EB" w:rsidRDefault="004D19EB">
    <w:pPr>
      <w:spacing w:after="0"/>
      <w:ind w:left="0" w:right="371" w:firstLine="0"/>
      <w:jc w:val="center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 w:rsidR="007365F8">
      <w:rPr>
        <w:rFonts w:ascii="Times New Roman" w:eastAsia="Times New Roman" w:hAnsi="Times New Roman" w:cs="Times New Roman"/>
        <w:noProof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EB" w:rsidRDefault="004D19EB">
    <w:pPr>
      <w:spacing w:after="0"/>
      <w:ind w:left="0" w:right="371" w:firstLine="0"/>
      <w:jc w:val="center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fldChar w:fldCharType="begin"/>
    </w:r>
    <w:r>
      <w:rPr>
        <w:rFonts w:ascii="Times New Roman" w:eastAsia="Times New Roman" w:hAnsi="Times New Roman" w:cs="Times New Roman"/>
        <w:sz w:val="18"/>
      </w:rPr>
      <w:instrText xml:space="preserve"> PAGE   \* MERGEFORMAT </w:instrText>
    </w:r>
    <w:r>
      <w:rPr>
        <w:rFonts w:ascii="Times New Roman" w:eastAsia="Times New Roman" w:hAnsi="Times New Roman" w:cs="Times New Roman"/>
        <w:sz w:val="1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10" w:rsidRDefault="00953A10">
      <w:pPr>
        <w:spacing w:after="0" w:line="240" w:lineRule="auto"/>
      </w:pPr>
      <w:r>
        <w:separator/>
      </w:r>
    </w:p>
  </w:footnote>
  <w:footnote w:type="continuationSeparator" w:id="0">
    <w:p w:rsidR="00953A10" w:rsidRDefault="0095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60A0"/>
    <w:multiLevelType w:val="hybridMultilevel"/>
    <w:tmpl w:val="2666814E"/>
    <w:lvl w:ilvl="0" w:tplc="F858E02E">
      <w:start w:val="1"/>
      <w:numFmt w:val="decimal"/>
      <w:lvlText w:val="（%1）"/>
      <w:lvlJc w:val="left"/>
      <w:pPr>
        <w:ind w:left="70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07052">
      <w:start w:val="1"/>
      <w:numFmt w:val="lowerLetter"/>
      <w:lvlText w:val="%2"/>
      <w:lvlJc w:val="left"/>
      <w:pPr>
        <w:ind w:left="118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E0AE4">
      <w:start w:val="1"/>
      <w:numFmt w:val="lowerRoman"/>
      <w:lvlText w:val="%3"/>
      <w:lvlJc w:val="left"/>
      <w:pPr>
        <w:ind w:left="190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AA20C">
      <w:start w:val="1"/>
      <w:numFmt w:val="decimal"/>
      <w:lvlText w:val="%4"/>
      <w:lvlJc w:val="left"/>
      <w:pPr>
        <w:ind w:left="262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2894">
      <w:start w:val="1"/>
      <w:numFmt w:val="lowerLetter"/>
      <w:lvlText w:val="%5"/>
      <w:lvlJc w:val="left"/>
      <w:pPr>
        <w:ind w:left="334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2872">
      <w:start w:val="1"/>
      <w:numFmt w:val="lowerRoman"/>
      <w:lvlText w:val="%6"/>
      <w:lvlJc w:val="left"/>
      <w:pPr>
        <w:ind w:left="406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A782A">
      <w:start w:val="1"/>
      <w:numFmt w:val="decimal"/>
      <w:lvlText w:val="%7"/>
      <w:lvlJc w:val="left"/>
      <w:pPr>
        <w:ind w:left="478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A9076">
      <w:start w:val="1"/>
      <w:numFmt w:val="lowerLetter"/>
      <w:lvlText w:val="%8"/>
      <w:lvlJc w:val="left"/>
      <w:pPr>
        <w:ind w:left="550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7832">
      <w:start w:val="1"/>
      <w:numFmt w:val="lowerRoman"/>
      <w:lvlText w:val="%9"/>
      <w:lvlJc w:val="left"/>
      <w:pPr>
        <w:ind w:left="622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044B2"/>
    <w:multiLevelType w:val="hybridMultilevel"/>
    <w:tmpl w:val="355EB5C2"/>
    <w:lvl w:ilvl="0" w:tplc="4D86810C">
      <w:start w:val="1"/>
      <w:numFmt w:val="bullet"/>
      <w:lvlText w:val="¾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81BF8">
      <w:start w:val="1"/>
      <w:numFmt w:val="bullet"/>
      <w:lvlText w:val="o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83A3E">
      <w:start w:val="1"/>
      <w:numFmt w:val="bullet"/>
      <w:lvlText w:val="▪"/>
      <w:lvlJc w:val="left"/>
      <w:pPr>
        <w:ind w:left="1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46E16">
      <w:start w:val="1"/>
      <w:numFmt w:val="bullet"/>
      <w:lvlText w:val="•"/>
      <w:lvlJc w:val="left"/>
      <w:pPr>
        <w:ind w:left="2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BF56">
      <w:start w:val="1"/>
      <w:numFmt w:val="bullet"/>
      <w:lvlText w:val="o"/>
      <w:lvlJc w:val="left"/>
      <w:pPr>
        <w:ind w:left="3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2FB8A">
      <w:start w:val="1"/>
      <w:numFmt w:val="bullet"/>
      <w:lvlText w:val="▪"/>
      <w:lvlJc w:val="left"/>
      <w:pPr>
        <w:ind w:left="3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65AC2">
      <w:start w:val="1"/>
      <w:numFmt w:val="bullet"/>
      <w:lvlText w:val="•"/>
      <w:lvlJc w:val="left"/>
      <w:pPr>
        <w:ind w:left="4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A0A64">
      <w:start w:val="1"/>
      <w:numFmt w:val="bullet"/>
      <w:lvlText w:val="o"/>
      <w:lvlJc w:val="left"/>
      <w:pPr>
        <w:ind w:left="5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0498E">
      <w:start w:val="1"/>
      <w:numFmt w:val="bullet"/>
      <w:lvlText w:val="▪"/>
      <w:lvlJc w:val="left"/>
      <w:pPr>
        <w:ind w:left="6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44F09"/>
    <w:multiLevelType w:val="hybridMultilevel"/>
    <w:tmpl w:val="20A6FF5C"/>
    <w:lvl w:ilvl="0" w:tplc="0B64670E">
      <w:start w:val="10"/>
      <w:numFmt w:val="bullet"/>
      <w:lvlText w:val="□"/>
      <w:lvlJc w:val="left"/>
      <w:pPr>
        <w:ind w:left="360" w:hanging="360"/>
      </w:pPr>
      <w:rPr>
        <w:rFonts w:ascii="FangSong" w:eastAsia="FangSong" w:hAnsi="FangSong" w:cs="FangSong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C47B5A"/>
    <w:multiLevelType w:val="hybridMultilevel"/>
    <w:tmpl w:val="13669B68"/>
    <w:lvl w:ilvl="0" w:tplc="8C7AB470">
      <w:start w:val="1"/>
      <w:numFmt w:val="decimal"/>
      <w:lvlText w:val="（%1）"/>
      <w:lvlJc w:val="left"/>
      <w:pPr>
        <w:ind w:left="445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2FF0C">
      <w:start w:val="1"/>
      <w:numFmt w:val="lowerLetter"/>
      <w:lvlText w:val="%2"/>
      <w:lvlJc w:val="left"/>
      <w:pPr>
        <w:ind w:left="154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6CB2E">
      <w:start w:val="1"/>
      <w:numFmt w:val="lowerRoman"/>
      <w:lvlText w:val="%3"/>
      <w:lvlJc w:val="left"/>
      <w:pPr>
        <w:ind w:left="226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45C10">
      <w:start w:val="1"/>
      <w:numFmt w:val="decimal"/>
      <w:lvlText w:val="%4"/>
      <w:lvlJc w:val="left"/>
      <w:pPr>
        <w:ind w:left="298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C4268">
      <w:start w:val="1"/>
      <w:numFmt w:val="lowerLetter"/>
      <w:lvlText w:val="%5"/>
      <w:lvlJc w:val="left"/>
      <w:pPr>
        <w:ind w:left="370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0F79E">
      <w:start w:val="1"/>
      <w:numFmt w:val="lowerRoman"/>
      <w:lvlText w:val="%6"/>
      <w:lvlJc w:val="left"/>
      <w:pPr>
        <w:ind w:left="442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A7544">
      <w:start w:val="1"/>
      <w:numFmt w:val="decimal"/>
      <w:lvlText w:val="%7"/>
      <w:lvlJc w:val="left"/>
      <w:pPr>
        <w:ind w:left="514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26A86">
      <w:start w:val="1"/>
      <w:numFmt w:val="lowerLetter"/>
      <w:lvlText w:val="%8"/>
      <w:lvlJc w:val="left"/>
      <w:pPr>
        <w:ind w:left="586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840CE">
      <w:start w:val="1"/>
      <w:numFmt w:val="lowerRoman"/>
      <w:lvlText w:val="%9"/>
      <w:lvlJc w:val="left"/>
      <w:pPr>
        <w:ind w:left="6588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1E"/>
    <w:rsid w:val="00002659"/>
    <w:rsid w:val="00004B59"/>
    <w:rsid w:val="0002200D"/>
    <w:rsid w:val="000332FB"/>
    <w:rsid w:val="00053D24"/>
    <w:rsid w:val="00094A77"/>
    <w:rsid w:val="000A3522"/>
    <w:rsid w:val="000B28B7"/>
    <w:rsid w:val="000C1E88"/>
    <w:rsid w:val="000D7487"/>
    <w:rsid w:val="000F3E77"/>
    <w:rsid w:val="00116064"/>
    <w:rsid w:val="00120CDA"/>
    <w:rsid w:val="00122879"/>
    <w:rsid w:val="0012461B"/>
    <w:rsid w:val="00130613"/>
    <w:rsid w:val="001456C8"/>
    <w:rsid w:val="001667EF"/>
    <w:rsid w:val="001F2F3C"/>
    <w:rsid w:val="00204092"/>
    <w:rsid w:val="00225F9B"/>
    <w:rsid w:val="00235410"/>
    <w:rsid w:val="00236A87"/>
    <w:rsid w:val="00280524"/>
    <w:rsid w:val="002909BB"/>
    <w:rsid w:val="002A29D3"/>
    <w:rsid w:val="002A553E"/>
    <w:rsid w:val="002B1DD0"/>
    <w:rsid w:val="002B7D1A"/>
    <w:rsid w:val="002C07CA"/>
    <w:rsid w:val="002C35A2"/>
    <w:rsid w:val="002D6996"/>
    <w:rsid w:val="00311E8E"/>
    <w:rsid w:val="0035290F"/>
    <w:rsid w:val="00370623"/>
    <w:rsid w:val="0037747B"/>
    <w:rsid w:val="003F7303"/>
    <w:rsid w:val="004115AF"/>
    <w:rsid w:val="00412A21"/>
    <w:rsid w:val="00446DA6"/>
    <w:rsid w:val="00456639"/>
    <w:rsid w:val="0047469F"/>
    <w:rsid w:val="004C2A3E"/>
    <w:rsid w:val="004C4231"/>
    <w:rsid w:val="004D19EB"/>
    <w:rsid w:val="004D335B"/>
    <w:rsid w:val="004D3A88"/>
    <w:rsid w:val="004E655E"/>
    <w:rsid w:val="00500E93"/>
    <w:rsid w:val="00507C83"/>
    <w:rsid w:val="00523581"/>
    <w:rsid w:val="00531CB5"/>
    <w:rsid w:val="00562FAF"/>
    <w:rsid w:val="00570E13"/>
    <w:rsid w:val="00577AB2"/>
    <w:rsid w:val="0058726E"/>
    <w:rsid w:val="00595117"/>
    <w:rsid w:val="005A14FF"/>
    <w:rsid w:val="005B6F35"/>
    <w:rsid w:val="005D28CA"/>
    <w:rsid w:val="005D5E04"/>
    <w:rsid w:val="005F7319"/>
    <w:rsid w:val="00610D01"/>
    <w:rsid w:val="006355D0"/>
    <w:rsid w:val="0065138C"/>
    <w:rsid w:val="00671BC6"/>
    <w:rsid w:val="006771D1"/>
    <w:rsid w:val="006829B2"/>
    <w:rsid w:val="0068728B"/>
    <w:rsid w:val="00691A25"/>
    <w:rsid w:val="006D100E"/>
    <w:rsid w:val="006F7C86"/>
    <w:rsid w:val="00702ED1"/>
    <w:rsid w:val="007062BD"/>
    <w:rsid w:val="00707DB1"/>
    <w:rsid w:val="00711F16"/>
    <w:rsid w:val="00724E01"/>
    <w:rsid w:val="0073013B"/>
    <w:rsid w:val="007365F8"/>
    <w:rsid w:val="00754984"/>
    <w:rsid w:val="00776894"/>
    <w:rsid w:val="007C7483"/>
    <w:rsid w:val="008903BF"/>
    <w:rsid w:val="008C4945"/>
    <w:rsid w:val="008D38F5"/>
    <w:rsid w:val="008F616E"/>
    <w:rsid w:val="009049E6"/>
    <w:rsid w:val="00904FED"/>
    <w:rsid w:val="00931E87"/>
    <w:rsid w:val="00940278"/>
    <w:rsid w:val="00953A10"/>
    <w:rsid w:val="00966CEA"/>
    <w:rsid w:val="00986B61"/>
    <w:rsid w:val="00997311"/>
    <w:rsid w:val="009B22D0"/>
    <w:rsid w:val="009E11AE"/>
    <w:rsid w:val="009F3630"/>
    <w:rsid w:val="00A15716"/>
    <w:rsid w:val="00A20751"/>
    <w:rsid w:val="00A60915"/>
    <w:rsid w:val="00A62057"/>
    <w:rsid w:val="00A74BE8"/>
    <w:rsid w:val="00A8725A"/>
    <w:rsid w:val="00A9032D"/>
    <w:rsid w:val="00AD4C79"/>
    <w:rsid w:val="00AD4DF6"/>
    <w:rsid w:val="00AF0DFB"/>
    <w:rsid w:val="00AF472B"/>
    <w:rsid w:val="00B02D46"/>
    <w:rsid w:val="00B0660F"/>
    <w:rsid w:val="00B11C81"/>
    <w:rsid w:val="00B41705"/>
    <w:rsid w:val="00B51630"/>
    <w:rsid w:val="00B55163"/>
    <w:rsid w:val="00B74593"/>
    <w:rsid w:val="00B8222F"/>
    <w:rsid w:val="00B92D72"/>
    <w:rsid w:val="00B9347B"/>
    <w:rsid w:val="00BA1EE3"/>
    <w:rsid w:val="00BB06EF"/>
    <w:rsid w:val="00BF7EA4"/>
    <w:rsid w:val="00C00DB0"/>
    <w:rsid w:val="00C6045C"/>
    <w:rsid w:val="00C64FBE"/>
    <w:rsid w:val="00C80C3D"/>
    <w:rsid w:val="00C87DDF"/>
    <w:rsid w:val="00C93E3F"/>
    <w:rsid w:val="00CB6E42"/>
    <w:rsid w:val="00CC331E"/>
    <w:rsid w:val="00CD1628"/>
    <w:rsid w:val="00CD3914"/>
    <w:rsid w:val="00CE2A90"/>
    <w:rsid w:val="00CF06CA"/>
    <w:rsid w:val="00D02EBF"/>
    <w:rsid w:val="00D05D5C"/>
    <w:rsid w:val="00D066E6"/>
    <w:rsid w:val="00D204F9"/>
    <w:rsid w:val="00D4069E"/>
    <w:rsid w:val="00D4088A"/>
    <w:rsid w:val="00D94131"/>
    <w:rsid w:val="00D963D5"/>
    <w:rsid w:val="00DB7841"/>
    <w:rsid w:val="00E05B52"/>
    <w:rsid w:val="00E10FF8"/>
    <w:rsid w:val="00E61987"/>
    <w:rsid w:val="00E66D4D"/>
    <w:rsid w:val="00E67545"/>
    <w:rsid w:val="00E95792"/>
    <w:rsid w:val="00EA4ED3"/>
    <w:rsid w:val="00EC628B"/>
    <w:rsid w:val="00EF1598"/>
    <w:rsid w:val="00F1231E"/>
    <w:rsid w:val="00F247C9"/>
    <w:rsid w:val="00F35751"/>
    <w:rsid w:val="00F46FFA"/>
    <w:rsid w:val="00F47E4E"/>
    <w:rsid w:val="00F51048"/>
    <w:rsid w:val="00F64E7F"/>
    <w:rsid w:val="00F67359"/>
    <w:rsid w:val="00F72ADC"/>
    <w:rsid w:val="00F76FC7"/>
    <w:rsid w:val="00F77261"/>
    <w:rsid w:val="00F93ADC"/>
    <w:rsid w:val="00FA76B1"/>
    <w:rsid w:val="00FD51A1"/>
    <w:rsid w:val="00FE02F6"/>
    <w:rsid w:val="00FE4954"/>
    <w:rsid w:val="00FF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54879"/>
  <w15:docId w15:val="{24C23996-E1E8-4B4B-B4C9-12156FA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1E"/>
    <w:pPr>
      <w:spacing w:after="171" w:line="259" w:lineRule="auto"/>
      <w:ind w:left="10" w:hanging="10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B55163"/>
    <w:pPr>
      <w:keepNext/>
      <w:keepLines/>
      <w:spacing w:before="120" w:after="120" w:line="360" w:lineRule="auto"/>
      <w:outlineLvl w:val="0"/>
    </w:pPr>
    <w:rPr>
      <w:b/>
      <w:bCs/>
      <w:kern w:val="44"/>
      <w:szCs w:val="44"/>
    </w:rPr>
  </w:style>
  <w:style w:type="paragraph" w:styleId="2">
    <w:name w:val="heading 2"/>
    <w:next w:val="a"/>
    <w:link w:val="20"/>
    <w:uiPriority w:val="9"/>
    <w:unhideWhenUsed/>
    <w:qFormat/>
    <w:rsid w:val="00CC331E"/>
    <w:pPr>
      <w:keepNext/>
      <w:keepLines/>
      <w:spacing w:after="171" w:line="259" w:lineRule="auto"/>
      <w:ind w:left="10" w:hanging="10"/>
      <w:outlineLvl w:val="1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55163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CC331E"/>
    <w:rPr>
      <w:rFonts w:ascii="FangSong" w:eastAsia="FangSong" w:hAnsi="FangSong" w:cs="FangSong"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rsid w:val="00CC331E"/>
    <w:pPr>
      <w:spacing w:line="286" w:lineRule="auto"/>
      <w:ind w:left="98"/>
    </w:pPr>
    <w:rPr>
      <w:rFonts w:ascii="宋体" w:eastAsia="宋体" w:hAnsi="宋体" w:cs="宋体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CC331E"/>
    <w:rPr>
      <w:rFonts w:ascii="宋体" w:eastAsia="宋体" w:hAnsi="宋体" w:cs="宋体"/>
      <w:color w:val="000000"/>
      <w:sz w:val="18"/>
    </w:rPr>
  </w:style>
  <w:style w:type="paragraph" w:styleId="11">
    <w:name w:val="toc 1"/>
    <w:hidden/>
    <w:rsid w:val="00CC331E"/>
    <w:pPr>
      <w:spacing w:line="360" w:lineRule="auto"/>
      <w:ind w:left="25" w:right="21" w:hanging="10"/>
    </w:pPr>
    <w:rPr>
      <w:rFonts w:ascii="Times New Roman" w:eastAsia="Times New Roman" w:hAnsi="Times New Roman" w:cs="Times New Roman"/>
      <w:color w:val="000000"/>
      <w:sz w:val="30"/>
    </w:rPr>
  </w:style>
  <w:style w:type="paragraph" w:styleId="21">
    <w:name w:val="toc 2"/>
    <w:hidden/>
    <w:rsid w:val="00CC331E"/>
    <w:pPr>
      <w:spacing w:after="219" w:line="259" w:lineRule="auto"/>
      <w:ind w:left="445" w:right="21" w:hanging="10"/>
    </w:pPr>
    <w:rPr>
      <w:rFonts w:ascii="Times New Roman" w:eastAsia="Times New Roman" w:hAnsi="Times New Roman" w:cs="Times New Roman"/>
      <w:color w:val="000000"/>
      <w:sz w:val="30"/>
    </w:rPr>
  </w:style>
  <w:style w:type="character" w:customStyle="1" w:styleId="footnotemark">
    <w:name w:val="footnote mark"/>
    <w:hidden/>
    <w:rsid w:val="00CC331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CC3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C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31E"/>
    <w:rPr>
      <w:rFonts w:ascii="FangSong" w:eastAsia="FangSong" w:hAnsi="FangSong" w:cs="FangSong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963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0214;\&#25105;&#30340;&#26700;&#38754;\&#20020;&#26102;&#25991;&#26723;(2015)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临时文档(2015)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DUTL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高健</dc:creator>
  <cp:keywords/>
  <dc:description/>
  <cp:lastModifiedBy>陈陶</cp:lastModifiedBy>
  <cp:revision>3</cp:revision>
  <dcterms:created xsi:type="dcterms:W3CDTF">2018-11-23T07:55:00Z</dcterms:created>
  <dcterms:modified xsi:type="dcterms:W3CDTF">2018-11-23T08:02:00Z</dcterms:modified>
</cp:coreProperties>
</file>